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240" w:after="24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Как государственная профориентация помогает определиться с профессией и сэкономить семейный бюджет.</w:t>
      </w:r>
    </w:p>
    <w:p>
      <w:pPr>
        <w:pStyle w:val="Normal"/>
        <w:spacing w:before="240" w:after="240"/>
        <w:jc w:val="both"/>
        <w:rPr>
          <w:rFonts w:ascii="Times New Roman" w:hAnsi="Times New Roman" w:eastAsia="Times New Roman" w:cs="Times New Roman"/>
          <w:b/>
          <w:b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Вариантов современной профориентации очень много. Но правда ли, что только платные тесты или консультации профориентологов могут дать глубокий анализ и помочь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</w:t>
      </w:r>
      <w:r>
        <w:rPr>
          <w:rFonts w:eastAsia="Times New Roman" w:cs="Times New Roman" w:ascii="Times New Roman" w:hAnsi="Times New Roman"/>
          <w:b/>
          <w:sz w:val="24"/>
          <w:szCs w:val="24"/>
          <w:lang w:val="ru-RU"/>
        </w:rPr>
        <w:t xml:space="preserve"> 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 сентября 2023 года на основе федерального проекта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 В этот же год в перечне профориентационных инициатив появляется 34-часовой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с разнообразными профессиональными направлениями, а также с рынком труда.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Рынок профориентационных предложений разнообразен. Одним из главных преимуществ платных исследований считается детализированная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Стоимость одного профориентационного тестирования может составлять от 3 000  до 7 000 рублей. Курсы, рассчитанные на 2-3 месяца, стоят от 45 000 рублей  и это  без учета индивидуальной диагностики.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 Не будем забывать и о том, что в период взросления ребенка его предпочтения «кем я хочу стать» постоянно меняются. И в таких случаях важно обращаться к профориентации чаще. Регулярно проходить профориентационное ориентирование целесообразно, начиная с 6 класса.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>Первым некоммерческим профориентационным проектом такого масштаба и качества стал «Билет в будущее». Для ребенка – это возможность лучше понять свои склонности и интересы. Для родителей: семейные тесты, курсы, психологические советы от экспертов, полезные рекомендации, чек-листы.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инфоцыгане не дремлют и под видом полезных практик предлагают, как совершенно мошеннические бесполезные программы, так и гибридные формы сильно облегченных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</w:t>
      </w:r>
      <w:bookmarkStart w:id="0" w:name="_GoBack"/>
      <w:bookmarkEnd w:id="0"/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Российская профориентация с каждый годом развивается, побуждая государство работать в этом направлении еще более серьезно. Федеральные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инструменты, которые применяются,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</w:p>
    <w:p>
      <w:pPr>
        <w:pStyle w:val="Normal"/>
        <w:spacing w:before="240" w:after="240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spacing w:before="240" w:after="240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/>
      </w:r>
    </w:p>
    <w:sectPr>
      <w:type w:val="nextPage"/>
      <w:pgSz w:w="12240" w:h="15840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" w:eastAsia="ru-RU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3">
    <w:name w:val="Title"/>
    <w:basedOn w:val="Normal"/>
    <w:next w:val="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tyle14">
    <w:name w:val="Subtitle"/>
    <w:basedOn w:val="Normal"/>
    <w:next w:val="Normal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LibreOffice/7.0.6.2$Linux_X86_64 LibreOffice_project/00$Build-2</Application>
  <AppVersion>15.0000</AppVersion>
  <Pages>2</Pages>
  <Words>461</Words>
  <Characters>3126</Characters>
  <CharactersWithSpaces>3592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2024-10-28T09:27:00Z</dcterms:created>
  <dc:creator>User</dc:creator>
  <dc:description/>
  <dc:language>ru-RU</dc:language>
  <cp:lastModifiedBy>User</cp:lastModifiedBy>
  <dcterms:modified xsi:type="dcterms:W3CDTF">2024-10-28T09:28:00Z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